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8"/>
        <w:gridCol w:w="3429"/>
        <w:gridCol w:w="3429"/>
        <w:tblGridChange w:id="0">
          <w:tblGrid>
            <w:gridCol w:w="3428"/>
            <w:gridCol w:w="3429"/>
            <w:gridCol w:w="3429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معمر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عبدالغفور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إبراهيم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107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بورد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عربي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(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دكتوراه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اشعة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تشخيصية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٢٠٢١</w:t>
            </w:r>
          </w:p>
          <w:p w:rsidR="00000000" w:rsidDel="00000000" w:rsidP="00000000" w:rsidRDefault="00000000" w:rsidRPr="00000000" w14:paraId="0000000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CABHS. RAD. - 2021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بكلوريوس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طب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وجراحة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عامة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- ٢٠١٢ </w:t>
            </w:r>
          </w:p>
          <w:p w:rsidR="00000000" w:rsidDel="00000000" w:rsidP="00000000" w:rsidRDefault="00000000" w:rsidRPr="00000000" w14:paraId="0000000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M.B.Ch.B. – 2012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الشهادات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/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Qualifications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111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Diagnostic accuracy of Transperineal sonography in diagnosing the type of imperforate anus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دراسة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الدقة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التشخيصية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لفحص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السونار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عبر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العجان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التفريق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بين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انوع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الرتق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الشرجي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البحوث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/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Researches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07701701717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رقم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الهاتف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/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Contact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info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. 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البريد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الالكتروني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/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Email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ind w:left="57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2213443</wp:posOffset>
            </wp:positionH>
            <wp:positionV relativeFrom="paragraph">
              <wp:posOffset>-3990038</wp:posOffset>
            </wp:positionV>
            <wp:extent cx="2080260" cy="25863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586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ind w:left="57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Q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