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1-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Personal Data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  :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003">
      <w:pPr>
        <w:ind w:left="28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: Khalid Waleed Turkey Al-Maola</w:t>
      </w:r>
    </w:p>
    <w:p w:rsidR="00000000" w:rsidDel="00000000" w:rsidP="00000000" w:rsidRDefault="00000000" w:rsidRPr="00000000" w14:paraId="00000005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Date of Birth /  Iraq – Mosul - 1978</w:t>
      </w:r>
    </w:p>
    <w:p w:rsidR="00000000" w:rsidDel="00000000" w:rsidP="00000000" w:rsidRDefault="00000000" w:rsidRPr="00000000" w14:paraId="00000006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Gender  /  Male</w:t>
      </w:r>
    </w:p>
    <w:p w:rsidR="00000000" w:rsidDel="00000000" w:rsidP="00000000" w:rsidRDefault="00000000" w:rsidRPr="00000000" w14:paraId="00000007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Marital status /  Maried</w:t>
      </w:r>
    </w:p>
    <w:p w:rsidR="00000000" w:rsidDel="00000000" w:rsidP="00000000" w:rsidRDefault="00000000" w:rsidRPr="00000000" w14:paraId="00000008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Nationality  /  Iraqi </w:t>
      </w:r>
    </w:p>
    <w:p w:rsidR="00000000" w:rsidDel="00000000" w:rsidP="00000000" w:rsidRDefault="00000000" w:rsidRPr="00000000" w14:paraId="00000009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Address /  Iraq – Mosul – Jabber Ben Hayan-Mosul-Iraq </w:t>
      </w:r>
    </w:p>
    <w:p w:rsidR="00000000" w:rsidDel="00000000" w:rsidP="00000000" w:rsidRDefault="00000000" w:rsidRPr="00000000" w14:paraId="0000000A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E- mail / khwaleedturk@uomosul.edu.iq</w:t>
      </w:r>
    </w:p>
    <w:p w:rsidR="00000000" w:rsidDel="00000000" w:rsidP="00000000" w:rsidRDefault="00000000" w:rsidRPr="00000000" w14:paraId="0000000B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2-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Present Occupation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Since 2009   Lecturer in Department of Microbiology and   </w:t>
      </w:r>
    </w:p>
    <w:p w:rsidR="00000000" w:rsidDel="00000000" w:rsidP="00000000" w:rsidRDefault="00000000" w:rsidRPr="00000000" w14:paraId="0000000E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Immunology, Medical College, University of Mosul. </w:t>
      </w:r>
    </w:p>
    <w:p w:rsidR="00000000" w:rsidDel="00000000" w:rsidP="00000000" w:rsidRDefault="00000000" w:rsidRPr="00000000" w14:paraId="0000000F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3-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Degrees (Qualifications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)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5"/>
        <w:gridCol w:w="1577"/>
        <w:tblGridChange w:id="0">
          <w:tblGrid>
            <w:gridCol w:w="6945"/>
            <w:gridCol w:w="15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ind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ind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MB.,ChB.,  College of Medicine  , University of Mosul</w:t>
            </w:r>
          </w:p>
          <w:p w:rsidR="00000000" w:rsidDel="00000000" w:rsidP="00000000" w:rsidRDefault="00000000" w:rsidRPr="00000000" w14:paraId="00000014">
            <w:pPr>
              <w:ind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M.Sc.  in Microbiology , College of Medicine ,</w:t>
            </w:r>
          </w:p>
          <w:p w:rsidR="00000000" w:rsidDel="00000000" w:rsidP="00000000" w:rsidRDefault="00000000" w:rsidRPr="00000000" w14:paraId="00000017">
            <w:pPr>
              <w:ind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University of Mosul</w:t>
            </w:r>
          </w:p>
          <w:p w:rsidR="00000000" w:rsidDel="00000000" w:rsidP="00000000" w:rsidRDefault="00000000" w:rsidRPr="00000000" w14:paraId="00000018">
            <w:pPr>
              <w:ind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PhD. Microbiology and Immunology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01C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4-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Past Jobs  </w:t>
      </w:r>
    </w:p>
    <w:tbl>
      <w:tblPr>
        <w:tblStyle w:val="Table2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18"/>
        <w:gridCol w:w="2104"/>
        <w:tblGridChange w:id="0">
          <w:tblGrid>
            <w:gridCol w:w="6418"/>
            <w:gridCol w:w="21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Jobs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firstLine="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Rotating house officer , Mosul General and Teaching Hospitals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2002– 2004</w:t>
            </w:r>
          </w:p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firstLine="0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Member of Teaching staff of Department of Medical Microbiology and Immunology, Mosul Medical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2004 -  2018</w:t>
            </w:r>
          </w:p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5-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Experience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9">
      <w:pPr>
        <w:ind w:left="1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Trainer</w:t>
      </w:r>
      <w:r w:rsidDel="00000000" w:rsidR="00000000" w:rsidRPr="00000000">
        <w:rPr>
          <w:b w:val="1"/>
          <w:sz w:val="28"/>
          <w:szCs w:val="28"/>
          <w:rtl w:val="0"/>
        </w:rPr>
        <w:t xml:space="preserve"> for post graduate students . 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540" w:hanging="360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Trainer </w:t>
      </w:r>
      <w:r w:rsidDel="00000000" w:rsidR="00000000" w:rsidRPr="00000000">
        <w:rPr>
          <w:b w:val="1"/>
          <w:sz w:val="28"/>
          <w:szCs w:val="28"/>
          <w:rtl w:val="0"/>
        </w:rPr>
        <w:t xml:space="preserve">to medical doctors in immunology and microbiology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7-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Publications </w:t>
      </w:r>
    </w:p>
    <w:p w:rsidR="00000000" w:rsidDel="00000000" w:rsidP="00000000" w:rsidRDefault="00000000" w:rsidRPr="00000000" w14:paraId="00000030">
      <w:pPr>
        <w:ind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Khalid W. Al-Moola,  Zainalabdeen A. Abdullah.  The use of indirect immuneofluorescent test in the diagnosis of coeliac disease.  </w:t>
      </w:r>
      <w:r w:rsidDel="00000000" w:rsidR="00000000" w:rsidRPr="00000000">
        <w:rPr>
          <w:b w:val="1"/>
          <w:sz w:val="28"/>
          <w:szCs w:val="28"/>
          <w:rtl w:val="0"/>
        </w:rPr>
        <w:t xml:space="preserve">International Journal of Enhanced Research in Science, Technology &amp; Engineering ISSN: 2319-7463, Vol. 6 Issue 8, August-2017, Impact Factor: 4.059.</w:t>
      </w:r>
    </w:p>
    <w:p w:rsidR="00000000" w:rsidDel="00000000" w:rsidP="00000000" w:rsidRDefault="00000000" w:rsidRPr="00000000" w14:paraId="00000032">
      <w:pPr>
        <w:ind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Khalid W. Al-Moola, Zainalabdeen A. Abdullah.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antinuclear antibodies fluorescent patterns in patients with connective tissue diseases.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International Journal of Enhanced Research in Science, Technology &amp; Engineering ISSN: 2319-7463, Vol. 6 Issue 9, September-2017, Impact Factor: 4.059.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58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54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400" w:lineRule="auto"/>
    </w:pPr>
    <w:rPr>
      <w:rFonts w:ascii="Century Gothic" w:cs="Century Gothic" w:eastAsia="Century Gothic" w:hAnsi="Century Gothic"/>
      <w:smallCaps w:val="1"/>
      <w:color w:val="0f243e"/>
      <w:sz w:val="32"/>
      <w:szCs w:val="32"/>
    </w:rPr>
  </w:style>
  <w:style w:type="paragraph" w:styleId="Heading2">
    <w:name w:val="heading 2"/>
    <w:basedOn w:val="Normal"/>
    <w:next w:val="Normal"/>
    <w:pPr>
      <w:spacing w:after="60" w:before="120" w:lineRule="auto"/>
    </w:pPr>
    <w:rPr>
      <w:rFonts w:ascii="Century Gothic" w:cs="Century Gothic" w:eastAsia="Century Gothic" w:hAnsi="Century Gothic"/>
      <w:smallCaps w:val="1"/>
      <w:color w:val="17365d"/>
      <w:sz w:val="28"/>
      <w:szCs w:val="28"/>
    </w:rPr>
  </w:style>
  <w:style w:type="paragraph" w:styleId="Heading3">
    <w:name w:val="heading 3"/>
    <w:basedOn w:val="Normal"/>
    <w:next w:val="Normal"/>
    <w:pPr>
      <w:spacing w:after="60" w:before="120" w:lineRule="auto"/>
    </w:pPr>
    <w:rPr>
      <w:rFonts w:ascii="Century Gothic" w:cs="Century Gothic" w:eastAsia="Century Gothic" w:hAnsi="Century Gothic"/>
      <w:smallCaps w:val="1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71a0dc" w:space="1" w:sz="4" w:val="single"/>
      </w:pBdr>
      <w:spacing w:after="100" w:before="200" w:lineRule="auto"/>
    </w:pPr>
    <w:rPr>
      <w:rFonts w:ascii="Century Gothic" w:cs="Century Gothic" w:eastAsia="Century Gothic" w:hAnsi="Century Gothic"/>
      <w:b w:val="1"/>
      <w:smallCaps w:val="1"/>
      <w:color w:val="3071c3"/>
    </w:rPr>
  </w:style>
  <w:style w:type="paragraph" w:styleId="Heading5">
    <w:name w:val="heading 5"/>
    <w:basedOn w:val="Normal"/>
    <w:next w:val="Normal"/>
    <w:pPr>
      <w:pBdr>
        <w:bottom w:color="548dd4" w:space="1" w:sz="4" w:val="single"/>
      </w:pBdr>
      <w:spacing w:after="100" w:before="200" w:lineRule="auto"/>
    </w:pPr>
    <w:rPr>
      <w:rFonts w:ascii="Century Gothic" w:cs="Century Gothic" w:eastAsia="Century Gothic" w:hAnsi="Century Gothic"/>
      <w:smallCaps w:val="1"/>
      <w:color w:val="3071c3"/>
    </w:rPr>
  </w:style>
  <w:style w:type="paragraph" w:styleId="Heading6">
    <w:name w:val="heading 6"/>
    <w:basedOn w:val="Normal"/>
    <w:next w:val="Normal"/>
    <w:pPr>
      <w:pBdr>
        <w:bottom w:color="938953" w:space="1" w:sz="8" w:val="dotted"/>
      </w:pBdr>
      <w:spacing w:after="100" w:before="200" w:lineRule="auto"/>
    </w:pPr>
    <w:rPr>
      <w:rFonts w:ascii="Century Gothic" w:cs="Century Gothic" w:eastAsia="Century Gothic" w:hAnsi="Century Gothic"/>
      <w:smallCaps w:val="1"/>
      <w:color w:val="938953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1"/>
      <w:strike w:val="0"/>
      <w:color w:val="17365d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0" w:before="0" w:line="240" w:lineRule="auto"/>
      <w:ind w:left="0" w:right="0" w:firstLine="0"/>
      <w:jc w:val="left"/>
    </w:pPr>
    <w:rPr>
      <w:rFonts w:ascii="Century Gothic" w:cs="Century Gothic" w:eastAsia="Century Gothic" w:hAnsi="Century Gothic"/>
      <w:b w:val="0"/>
      <w:i w:val="0"/>
      <w:smallCaps w:val="1"/>
      <w:strike w:val="0"/>
      <w:color w:val="938953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