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صلاح محمد امين يوسف الصراف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الموصل  27/7/1974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 عراقي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 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             نينوى             -    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 07512720476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             </w:t>
      </w:r>
      <w:r w:rsidR="00FC5442">
        <w:rPr>
          <w:rFonts w:cs="DecoType Naskh Swashes"/>
          <w:b/>
          <w:bCs/>
          <w:szCs w:val="32"/>
          <w:lang w:bidi="ar-IQ"/>
        </w:rPr>
        <w:t>yousif-salah@hotmail.com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كلية الصيدلة   -   جامعة الموصل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FC5442">
        <w:rPr>
          <w:rFonts w:cs="DecoType Naskh Swashes" w:hint="cs"/>
          <w:b/>
          <w:bCs/>
          <w:szCs w:val="32"/>
          <w:rtl/>
          <w:lang w:bidi="ar-IQ"/>
        </w:rPr>
        <w:t xml:space="preserve">    كلية الصيدلة   -   جامعة الموصل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TableGrid"/>
        <w:bidiVisual/>
        <w:tblW w:w="0" w:type="auto"/>
        <w:tblInd w:w="-517" w:type="dxa"/>
        <w:tblLook w:val="04A0" w:firstRow="1" w:lastRow="0" w:firstColumn="1" w:lastColumn="0" w:noHBand="0" w:noVBand="1"/>
      </w:tblPr>
      <w:tblGrid>
        <w:gridCol w:w="2647"/>
        <w:gridCol w:w="2130"/>
        <w:gridCol w:w="2131"/>
        <w:gridCol w:w="2131"/>
      </w:tblGrid>
      <w:tr w:rsidR="00D92359" w:rsidTr="003F3B7E">
        <w:tc>
          <w:tcPr>
            <w:tcW w:w="2647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3F3B7E" w:rsidTr="003F3B7E">
        <w:tc>
          <w:tcPr>
            <w:tcW w:w="2647" w:type="dxa"/>
            <w:shd w:val="clear" w:color="auto" w:fill="D9D9D9" w:themeFill="background1" w:themeFillShade="D9"/>
          </w:tcPr>
          <w:p w:rsidR="003F3B7E" w:rsidRPr="008C3D2D" w:rsidRDefault="003F3B7E" w:rsidP="00804D1C">
            <w:pPr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زمالة ما بعد الدكتوراه</w:t>
            </w:r>
          </w:p>
        </w:tc>
        <w:tc>
          <w:tcPr>
            <w:tcW w:w="2130" w:type="dxa"/>
          </w:tcPr>
          <w:p w:rsidR="003F3B7E" w:rsidRPr="008C3D2D" w:rsidRDefault="003F3B7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  <w:tc>
          <w:tcPr>
            <w:tcW w:w="2131" w:type="dxa"/>
          </w:tcPr>
          <w:p w:rsidR="003F3B7E" w:rsidRPr="008C3D2D" w:rsidRDefault="003F3B7E" w:rsidP="003F3B7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جامعة توهوكو-اليابان</w:t>
            </w:r>
          </w:p>
        </w:tc>
        <w:tc>
          <w:tcPr>
            <w:tcW w:w="2131" w:type="dxa"/>
          </w:tcPr>
          <w:p w:rsidR="003F3B7E" w:rsidRPr="008C3D2D" w:rsidRDefault="003F3B7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علم الادمان</w:t>
            </w:r>
          </w:p>
        </w:tc>
      </w:tr>
      <w:tr w:rsidR="00D92359" w:rsidTr="003F3B7E">
        <w:tc>
          <w:tcPr>
            <w:tcW w:w="2647" w:type="dxa"/>
            <w:shd w:val="clear" w:color="auto" w:fill="D9D9D9" w:themeFill="background1" w:themeFillShade="D9"/>
          </w:tcPr>
          <w:p w:rsidR="00D92359" w:rsidRPr="008C3D2D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  <w:tc>
          <w:tcPr>
            <w:tcW w:w="2131" w:type="dxa"/>
          </w:tcPr>
          <w:p w:rsidR="00FC5442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الصيدلة- جامعة باريس 5 </w:t>
            </w:r>
          </w:p>
          <w:p w:rsidR="00D92359" w:rsidRPr="008C3D2D" w:rsidRDefault="00FC5442" w:rsidP="00FC544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2131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صيدلة سريرية</w:t>
            </w:r>
          </w:p>
        </w:tc>
      </w:tr>
      <w:tr w:rsidR="003F3B7E" w:rsidTr="003F3B7E">
        <w:tc>
          <w:tcPr>
            <w:tcW w:w="2647" w:type="dxa"/>
            <w:shd w:val="clear" w:color="auto" w:fill="D9D9D9" w:themeFill="background1" w:themeFillShade="D9"/>
          </w:tcPr>
          <w:p w:rsidR="003F3B7E" w:rsidRPr="008C3D2D" w:rsidRDefault="003F3B7E" w:rsidP="00804D1C">
            <w:pPr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 xml:space="preserve">دبلوم عالي </w:t>
            </w:r>
          </w:p>
        </w:tc>
        <w:tc>
          <w:tcPr>
            <w:tcW w:w="2130" w:type="dxa"/>
          </w:tcPr>
          <w:p w:rsidR="003F3B7E" w:rsidRPr="008C3D2D" w:rsidRDefault="003F3B7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2003</w:t>
            </w:r>
          </w:p>
        </w:tc>
        <w:tc>
          <w:tcPr>
            <w:tcW w:w="2131" w:type="dxa"/>
          </w:tcPr>
          <w:p w:rsidR="003F3B7E" w:rsidRPr="008C3D2D" w:rsidRDefault="003F3B7E" w:rsidP="003F3B7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 xml:space="preserve">كلية الصيدلة- جامعة باريس 5 </w:t>
            </w:r>
          </w:p>
          <w:p w:rsidR="003F3B7E" w:rsidRPr="008C3D2D" w:rsidRDefault="003F3B7E" w:rsidP="003F3B7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فرنسا</w:t>
            </w:r>
          </w:p>
        </w:tc>
        <w:tc>
          <w:tcPr>
            <w:tcW w:w="2131" w:type="dxa"/>
          </w:tcPr>
          <w:p w:rsidR="003F3B7E" w:rsidRPr="008C3D2D" w:rsidRDefault="003F3B7E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بحوث جامعية</w:t>
            </w:r>
          </w:p>
        </w:tc>
      </w:tr>
      <w:tr w:rsidR="00D92359" w:rsidTr="003F3B7E">
        <w:tc>
          <w:tcPr>
            <w:tcW w:w="2647" w:type="dxa"/>
            <w:shd w:val="clear" w:color="auto" w:fill="D9D9D9" w:themeFill="background1" w:themeFillShade="D9"/>
          </w:tcPr>
          <w:p w:rsidR="00D92359" w:rsidRPr="008C3D2D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2000</w:t>
            </w:r>
          </w:p>
        </w:tc>
        <w:tc>
          <w:tcPr>
            <w:tcW w:w="2131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</w:p>
          <w:p w:rsidR="00FC5442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صيدلة سريرية</w:t>
            </w:r>
          </w:p>
        </w:tc>
      </w:tr>
      <w:tr w:rsidR="00D92359" w:rsidTr="003F3B7E">
        <w:tc>
          <w:tcPr>
            <w:tcW w:w="2647" w:type="dxa"/>
            <w:shd w:val="clear" w:color="auto" w:fill="D9D9D9" w:themeFill="background1" w:themeFillShade="D9"/>
          </w:tcPr>
          <w:p w:rsidR="00D92359" w:rsidRPr="008C3D2D" w:rsidRDefault="00D92359" w:rsidP="00804D1C">
            <w:pPr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  <w:tc>
          <w:tcPr>
            <w:tcW w:w="2131" w:type="dxa"/>
          </w:tcPr>
          <w:p w:rsidR="00FC5442" w:rsidRPr="008C3D2D" w:rsidRDefault="00FC5442" w:rsidP="00FC544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كلية الصيدلة</w:t>
            </w:r>
          </w:p>
          <w:p w:rsidR="00D92359" w:rsidRPr="008C3D2D" w:rsidRDefault="00FC5442" w:rsidP="00FC544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Pr="008C3D2D" w:rsidRDefault="00FC544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8C3D2D">
              <w:rPr>
                <w:rFonts w:hint="cs"/>
                <w:sz w:val="32"/>
                <w:szCs w:val="32"/>
                <w:rtl/>
                <w:lang w:bidi="ar-IQ"/>
              </w:rPr>
              <w:t>صيدلة</w:t>
            </w:r>
          </w:p>
        </w:tc>
      </w:tr>
    </w:tbl>
    <w:p w:rsidR="009267DE" w:rsidRDefault="009267DE" w:rsidP="009267DE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9267DE" w:rsidRPr="009267DE" w:rsidRDefault="009267DE" w:rsidP="009267DE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pPr w:leftFromText="180" w:rightFromText="180" w:vertAnchor="text" w:horzAnchor="margin" w:tblpXSpec="center" w:tblpY="1364"/>
        <w:bidiVisual/>
        <w:tblW w:w="10225" w:type="dxa"/>
        <w:tblCellSpacing w:w="2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14"/>
        <w:gridCol w:w="4619"/>
        <w:gridCol w:w="3192"/>
      </w:tblGrid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BFBFBF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الوظيفة</w:t>
            </w:r>
          </w:p>
        </w:tc>
        <w:tc>
          <w:tcPr>
            <w:tcW w:w="4579" w:type="dxa"/>
            <w:shd w:val="clear" w:color="auto" w:fill="BFBFBF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جهة العمل</w:t>
            </w:r>
          </w:p>
        </w:tc>
        <w:tc>
          <w:tcPr>
            <w:tcW w:w="3132" w:type="dxa"/>
            <w:shd w:val="clear" w:color="auto" w:fill="BFBFBF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 w:rsidRPr="00FD652B">
              <w:rPr>
                <w:b/>
                <w:bCs/>
                <w:rtl/>
              </w:rPr>
              <w:t>الفترة الزمنية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Pr="00FD652B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صيدلاني متدرب</w:t>
            </w:r>
          </w:p>
        </w:tc>
        <w:tc>
          <w:tcPr>
            <w:tcW w:w="4579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دائرة صحة نينوى / مستشفى ابن الاثير التعليمي</w:t>
            </w:r>
          </w:p>
        </w:tc>
        <w:tc>
          <w:tcPr>
            <w:tcW w:w="3132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 10/1997 -- 1/ 7 / 1998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Pr="00FD652B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صيدلاني متدرب</w:t>
            </w:r>
          </w:p>
        </w:tc>
        <w:tc>
          <w:tcPr>
            <w:tcW w:w="4579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معمل أدوية نينوى</w:t>
            </w:r>
          </w:p>
        </w:tc>
        <w:tc>
          <w:tcPr>
            <w:tcW w:w="3132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2/ 7 / 1998--  1/10/1998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Pr="00FD652B" w:rsidRDefault="009267DE" w:rsidP="009267D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معيد</w:t>
            </w:r>
          </w:p>
        </w:tc>
        <w:tc>
          <w:tcPr>
            <w:tcW w:w="4579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 / جامعة الموصل</w:t>
            </w:r>
          </w:p>
        </w:tc>
        <w:tc>
          <w:tcPr>
            <w:tcW w:w="3132" w:type="dxa"/>
            <w:shd w:val="clear" w:color="auto" w:fill="auto"/>
          </w:tcPr>
          <w:p w:rsidR="009267DE" w:rsidRPr="00FD652B" w:rsidRDefault="00F419F0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9267DE">
              <w:rPr>
                <w:rFonts w:hint="cs"/>
                <w:b/>
                <w:bCs/>
                <w:rtl/>
              </w:rPr>
              <w:t>/10/1998- 1/11/2000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Pr="00FD652B" w:rsidRDefault="009267DE" w:rsidP="009267DE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مدرس مساعد في </w:t>
            </w:r>
            <w:r>
              <w:rPr>
                <w:rFonts w:hint="cs"/>
                <w:b/>
                <w:bCs/>
                <w:rtl/>
              </w:rPr>
              <w:t>فرع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الصيدلة السريرية</w:t>
            </w:r>
          </w:p>
        </w:tc>
        <w:tc>
          <w:tcPr>
            <w:tcW w:w="4579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الموصل / كلية الصيدلة</w:t>
            </w:r>
          </w:p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فرع الصيدلة السريرية</w:t>
            </w:r>
          </w:p>
        </w:tc>
        <w:tc>
          <w:tcPr>
            <w:tcW w:w="3132" w:type="dxa"/>
            <w:shd w:val="clear" w:color="auto" w:fill="auto"/>
          </w:tcPr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1/2/2001  - 20/9/2001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Pr="00FD652B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دراسات لغوية عليا في اللغة </w:t>
            </w:r>
            <w:r>
              <w:rPr>
                <w:rFonts w:hint="cs"/>
                <w:b/>
                <w:bCs/>
                <w:rtl/>
              </w:rPr>
              <w:lastRenderedPageBreak/>
              <w:t>الفرنسية</w:t>
            </w:r>
          </w:p>
        </w:tc>
        <w:tc>
          <w:tcPr>
            <w:tcW w:w="4579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اكاديمية "تورين" للغة الفرنسية</w:t>
            </w:r>
          </w:p>
          <w:p w:rsidR="009267DE" w:rsidRPr="00FD652B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تورز- فرنسا</w:t>
            </w:r>
          </w:p>
        </w:tc>
        <w:tc>
          <w:tcPr>
            <w:tcW w:w="3132" w:type="dxa"/>
            <w:shd w:val="clear" w:color="auto" w:fill="auto"/>
          </w:tcPr>
          <w:p w:rsidR="009267DE" w:rsidRPr="00FD652B" w:rsidRDefault="009267DE" w:rsidP="00F419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27/9/200</w:t>
            </w:r>
            <w:r w:rsidR="00F419F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b/>
                <w:bCs/>
                <w:rtl/>
              </w:rPr>
              <w:t xml:space="preserve"> -  1/10/200</w:t>
            </w:r>
            <w:r w:rsidR="00F419F0">
              <w:rPr>
                <w:rFonts w:hint="cs"/>
                <w:b/>
                <w:bCs/>
                <w:rtl/>
              </w:rPr>
              <w:t>2</w:t>
            </w:r>
          </w:p>
        </w:tc>
      </w:tr>
      <w:tr w:rsidR="00354883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354883" w:rsidRDefault="00354883" w:rsidP="009267D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زمالة دراسية-دبلوم عالي</w:t>
            </w:r>
          </w:p>
        </w:tc>
        <w:tc>
          <w:tcPr>
            <w:tcW w:w="4579" w:type="dxa"/>
            <w:shd w:val="clear" w:color="auto" w:fill="auto"/>
          </w:tcPr>
          <w:p w:rsidR="00354883" w:rsidRDefault="00354883" w:rsidP="009267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باريس 5 - فرنسا</w:t>
            </w:r>
          </w:p>
        </w:tc>
        <w:tc>
          <w:tcPr>
            <w:tcW w:w="3132" w:type="dxa"/>
            <w:shd w:val="clear" w:color="auto" w:fill="auto"/>
          </w:tcPr>
          <w:p w:rsidR="00354883" w:rsidRDefault="00354883" w:rsidP="00F419F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10/2002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12/2003</w:t>
            </w:r>
          </w:p>
        </w:tc>
      </w:tr>
      <w:tr w:rsidR="00354883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354883" w:rsidRDefault="00354883" w:rsidP="009267D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زمالة دراسية - دكتوراه</w:t>
            </w:r>
          </w:p>
        </w:tc>
        <w:tc>
          <w:tcPr>
            <w:tcW w:w="4579" w:type="dxa"/>
            <w:shd w:val="clear" w:color="auto" w:fill="auto"/>
          </w:tcPr>
          <w:p w:rsidR="00354883" w:rsidRDefault="00354883" w:rsidP="009267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الصيدلة-جامعة باريس 5 - فرنسا</w:t>
            </w:r>
          </w:p>
        </w:tc>
        <w:tc>
          <w:tcPr>
            <w:tcW w:w="3132" w:type="dxa"/>
            <w:shd w:val="clear" w:color="auto" w:fill="auto"/>
          </w:tcPr>
          <w:p w:rsidR="00354883" w:rsidRDefault="00354883" w:rsidP="00F419F0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2004- 2008 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مساعد لطلاب كليات الصيدلة في الاتحاد الاوربي المشمولين بانجاز بحوث التخرج</w:t>
            </w:r>
          </w:p>
        </w:tc>
        <w:tc>
          <w:tcPr>
            <w:tcW w:w="4579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 w:rsidRPr="00FC02DB">
              <w:rPr>
                <w:rFonts w:hint="cs"/>
                <w:sz w:val="28"/>
                <w:szCs w:val="28"/>
                <w:rtl/>
              </w:rPr>
              <w:t xml:space="preserve">كلية الصيدلة </w:t>
            </w:r>
            <w:r w:rsidRPr="00FC02DB">
              <w:rPr>
                <w:sz w:val="28"/>
                <w:szCs w:val="28"/>
                <w:rtl/>
              </w:rPr>
              <w:t>–</w:t>
            </w:r>
            <w:r w:rsidRPr="00FC02DB">
              <w:rPr>
                <w:rFonts w:hint="cs"/>
                <w:sz w:val="28"/>
                <w:szCs w:val="28"/>
                <w:rtl/>
              </w:rPr>
              <w:t xml:space="preserve"> جامعة باريس الخامسة</w:t>
            </w:r>
            <w:r>
              <w:rPr>
                <w:rFonts w:hint="cs"/>
                <w:sz w:val="28"/>
                <w:szCs w:val="28"/>
                <w:rtl/>
              </w:rPr>
              <w:t>, باريس-فرنسا</w:t>
            </w:r>
          </w:p>
        </w:tc>
        <w:tc>
          <w:tcPr>
            <w:tcW w:w="3132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2006- 2011</w:t>
            </w:r>
          </w:p>
        </w:tc>
      </w:tr>
      <w:tr w:rsidR="00354883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354883" w:rsidRDefault="00354883" w:rsidP="009267D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منحة دراسية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زمالة ما بعد الدكتوراه</w:t>
            </w:r>
          </w:p>
        </w:tc>
        <w:tc>
          <w:tcPr>
            <w:tcW w:w="4579" w:type="dxa"/>
            <w:shd w:val="clear" w:color="auto" w:fill="auto"/>
          </w:tcPr>
          <w:p w:rsidR="00354883" w:rsidRPr="00FC02DB" w:rsidRDefault="00354883" w:rsidP="009267DE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الصيدلة-جامعة توهوكو - اليابان</w:t>
            </w:r>
          </w:p>
        </w:tc>
        <w:tc>
          <w:tcPr>
            <w:tcW w:w="3132" w:type="dxa"/>
            <w:shd w:val="clear" w:color="auto" w:fill="auto"/>
          </w:tcPr>
          <w:p w:rsidR="00354883" w:rsidRDefault="00354883" w:rsidP="009267D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2010</w:t>
            </w:r>
          </w:p>
        </w:tc>
      </w:tr>
      <w:tr w:rsidR="009267DE" w:rsidRPr="00FD652B" w:rsidTr="009267DE">
        <w:trPr>
          <w:trHeight w:val="756"/>
          <w:tblCellSpacing w:w="20" w:type="dxa"/>
        </w:trPr>
        <w:tc>
          <w:tcPr>
            <w:tcW w:w="2354" w:type="dxa"/>
            <w:shd w:val="clear" w:color="auto" w:fill="auto"/>
          </w:tcPr>
          <w:p w:rsidR="009267DE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باحث علمي</w:t>
            </w:r>
          </w:p>
        </w:tc>
        <w:tc>
          <w:tcPr>
            <w:tcW w:w="4579" w:type="dxa"/>
            <w:shd w:val="clear" w:color="auto" w:fill="auto"/>
          </w:tcPr>
          <w:p w:rsidR="009267DE" w:rsidRDefault="009267DE" w:rsidP="009267DE">
            <w:pPr>
              <w:rPr>
                <w:b/>
                <w:bCs/>
                <w:rtl/>
                <w:lang w:bidi="ar-IQ"/>
              </w:rPr>
            </w:pPr>
            <w:r w:rsidRPr="002953EE">
              <w:rPr>
                <w:b/>
                <w:bCs/>
                <w:rtl/>
                <w:lang w:bidi="ar-IQ"/>
              </w:rPr>
              <w:t>المركز الوطني للبحوث الطبية والصحية</w:t>
            </w:r>
            <w:r w:rsidRPr="002953EE">
              <w:rPr>
                <w:b/>
                <w:bCs/>
              </w:rPr>
              <w:t xml:space="preserve">INSERM </w:t>
            </w:r>
            <w:r w:rsidRPr="002953EE">
              <w:rPr>
                <w:b/>
                <w:bCs/>
                <w:rtl/>
                <w:lang w:bidi="ar-IQ"/>
              </w:rPr>
              <w:t xml:space="preserve"> الوحدة 705 باريس- فرنس</w:t>
            </w:r>
            <w:r w:rsidRPr="002953EE">
              <w:rPr>
                <w:rFonts w:hint="cs"/>
                <w:b/>
                <w:bCs/>
                <w:rtl/>
                <w:lang w:bidi="ar-IQ"/>
              </w:rPr>
              <w:t>ا</w:t>
            </w:r>
          </w:p>
        </w:tc>
        <w:tc>
          <w:tcPr>
            <w:tcW w:w="3132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2008 - 2011</w:t>
            </w:r>
          </w:p>
        </w:tc>
      </w:tr>
      <w:tr w:rsidR="009267D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9267DE" w:rsidRDefault="009267DE" w:rsidP="009267DE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 مساعد</w:t>
            </w:r>
          </w:p>
        </w:tc>
        <w:tc>
          <w:tcPr>
            <w:tcW w:w="4579" w:type="dxa"/>
            <w:shd w:val="clear" w:color="auto" w:fill="auto"/>
          </w:tcPr>
          <w:p w:rsidR="009267DE" w:rsidRDefault="009267DE" w:rsidP="009267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الموصل / كلية الصيدلة</w:t>
            </w:r>
          </w:p>
          <w:p w:rsidR="009267DE" w:rsidRDefault="009267DE" w:rsidP="00F419F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فرع الصيدلة </w:t>
            </w:r>
            <w:r w:rsidR="00F419F0">
              <w:rPr>
                <w:rFonts w:hint="cs"/>
                <w:b/>
                <w:bCs/>
                <w:rtl/>
              </w:rPr>
              <w:t>السريرية</w:t>
            </w:r>
          </w:p>
        </w:tc>
        <w:tc>
          <w:tcPr>
            <w:tcW w:w="3132" w:type="dxa"/>
            <w:shd w:val="clear" w:color="auto" w:fill="auto"/>
          </w:tcPr>
          <w:p w:rsidR="009267DE" w:rsidRDefault="009267DE" w:rsidP="001C05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2012- </w:t>
            </w:r>
            <w:r w:rsidR="001C05AE">
              <w:rPr>
                <w:rFonts w:hint="cs"/>
                <w:b/>
                <w:bCs/>
                <w:rtl/>
              </w:rPr>
              <w:t>2018</w:t>
            </w:r>
          </w:p>
        </w:tc>
      </w:tr>
      <w:tr w:rsidR="001C05AE" w:rsidRPr="00FD652B" w:rsidTr="009267DE">
        <w:trPr>
          <w:trHeight w:val="454"/>
          <w:tblCellSpacing w:w="20" w:type="dxa"/>
        </w:trPr>
        <w:tc>
          <w:tcPr>
            <w:tcW w:w="2354" w:type="dxa"/>
            <w:shd w:val="clear" w:color="auto" w:fill="auto"/>
          </w:tcPr>
          <w:p w:rsidR="001C05AE" w:rsidRDefault="001C05AE" w:rsidP="009267DE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مدرس</w:t>
            </w:r>
          </w:p>
        </w:tc>
        <w:tc>
          <w:tcPr>
            <w:tcW w:w="4579" w:type="dxa"/>
            <w:shd w:val="clear" w:color="auto" w:fill="auto"/>
          </w:tcPr>
          <w:p w:rsidR="001C05AE" w:rsidRPr="001C05AE" w:rsidRDefault="001C05AE" w:rsidP="001C05AE">
            <w:pPr>
              <w:jc w:val="center"/>
              <w:rPr>
                <w:b/>
                <w:bCs/>
                <w:rtl/>
              </w:rPr>
            </w:pPr>
            <w:r w:rsidRPr="001C05AE">
              <w:rPr>
                <w:rFonts w:cs="Arial" w:hint="cs"/>
                <w:b/>
                <w:bCs/>
                <w:rtl/>
              </w:rPr>
              <w:t>جامعة</w:t>
            </w:r>
            <w:r w:rsidRPr="001C05AE">
              <w:rPr>
                <w:rFonts w:cs="Arial"/>
                <w:b/>
                <w:bCs/>
                <w:rtl/>
              </w:rPr>
              <w:t xml:space="preserve"> </w:t>
            </w:r>
            <w:r w:rsidRPr="001C05AE">
              <w:rPr>
                <w:rFonts w:cs="Arial" w:hint="cs"/>
                <w:b/>
                <w:bCs/>
                <w:rtl/>
              </w:rPr>
              <w:t>الموصل</w:t>
            </w:r>
            <w:r w:rsidRPr="001C05AE">
              <w:rPr>
                <w:rFonts w:cs="Arial"/>
                <w:b/>
                <w:bCs/>
                <w:rtl/>
              </w:rPr>
              <w:t xml:space="preserve"> / </w:t>
            </w:r>
            <w:r w:rsidRPr="001C05AE">
              <w:rPr>
                <w:rFonts w:cs="Arial" w:hint="cs"/>
                <w:b/>
                <w:bCs/>
                <w:rtl/>
              </w:rPr>
              <w:t>كلية</w:t>
            </w:r>
            <w:r w:rsidRPr="001C05AE">
              <w:rPr>
                <w:rFonts w:cs="Arial"/>
                <w:b/>
                <w:bCs/>
                <w:rtl/>
              </w:rPr>
              <w:t xml:space="preserve"> </w:t>
            </w:r>
            <w:r w:rsidRPr="001C05AE">
              <w:rPr>
                <w:rFonts w:cs="Arial" w:hint="cs"/>
                <w:b/>
                <w:bCs/>
                <w:rtl/>
              </w:rPr>
              <w:t>الصيدلة</w:t>
            </w:r>
          </w:p>
          <w:p w:rsidR="001C05AE" w:rsidRDefault="001C05AE" w:rsidP="001C05AE">
            <w:pPr>
              <w:jc w:val="center"/>
              <w:rPr>
                <w:rFonts w:hint="cs"/>
                <w:b/>
                <w:bCs/>
                <w:rtl/>
              </w:rPr>
            </w:pPr>
            <w:r w:rsidRPr="001C05AE">
              <w:rPr>
                <w:rFonts w:cs="Arial" w:hint="cs"/>
                <w:b/>
                <w:bCs/>
                <w:rtl/>
              </w:rPr>
              <w:t>فرع</w:t>
            </w:r>
            <w:r w:rsidRPr="001C05AE">
              <w:rPr>
                <w:rFonts w:cs="Arial"/>
                <w:b/>
                <w:bCs/>
                <w:rtl/>
              </w:rPr>
              <w:t xml:space="preserve"> </w:t>
            </w:r>
            <w:r w:rsidRPr="001C05AE">
              <w:rPr>
                <w:rFonts w:cs="Arial" w:hint="cs"/>
                <w:b/>
                <w:bCs/>
                <w:rtl/>
              </w:rPr>
              <w:t>الصيدلة</w:t>
            </w:r>
            <w:r w:rsidRPr="001C05AE">
              <w:rPr>
                <w:rFonts w:cs="Arial"/>
                <w:b/>
                <w:bCs/>
                <w:rtl/>
              </w:rPr>
              <w:t xml:space="preserve"> </w:t>
            </w:r>
            <w:r w:rsidRPr="001C05AE">
              <w:rPr>
                <w:rFonts w:cs="Arial" w:hint="cs"/>
                <w:b/>
                <w:bCs/>
                <w:rtl/>
              </w:rPr>
              <w:t>السريرية</w:t>
            </w:r>
          </w:p>
        </w:tc>
        <w:tc>
          <w:tcPr>
            <w:tcW w:w="3132" w:type="dxa"/>
            <w:shd w:val="clear" w:color="auto" w:fill="auto"/>
          </w:tcPr>
          <w:p w:rsidR="001C05AE" w:rsidRDefault="001C05AE" w:rsidP="001C05AE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2019 - </w:t>
            </w:r>
          </w:p>
        </w:tc>
      </w:tr>
    </w:tbl>
    <w:p w:rsidR="0016323D" w:rsidRDefault="0016323D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7"/>
        <w:gridCol w:w="4944"/>
        <w:gridCol w:w="1558"/>
        <w:gridCol w:w="1263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961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لجنة الدراسات العليا</w:t>
            </w:r>
          </w:p>
        </w:tc>
        <w:tc>
          <w:tcPr>
            <w:tcW w:w="1560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الان</w:t>
            </w:r>
          </w:p>
        </w:tc>
      </w:tr>
      <w:tr w:rsidR="00D92359" w:rsidTr="00804D1C">
        <w:tc>
          <w:tcPr>
            <w:tcW w:w="759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لجنة المقاصة العلمية</w:t>
            </w:r>
          </w:p>
        </w:tc>
        <w:tc>
          <w:tcPr>
            <w:tcW w:w="1560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الان</w:t>
            </w:r>
          </w:p>
        </w:tc>
      </w:tr>
      <w:tr w:rsidR="00D92359" w:rsidTr="00804D1C">
        <w:tc>
          <w:tcPr>
            <w:tcW w:w="759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لجنة متابعة التدريب الصيفي</w:t>
            </w:r>
          </w:p>
        </w:tc>
        <w:tc>
          <w:tcPr>
            <w:tcW w:w="1560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2016</w:t>
            </w:r>
          </w:p>
        </w:tc>
        <w:tc>
          <w:tcPr>
            <w:tcW w:w="1242" w:type="dxa"/>
          </w:tcPr>
          <w:p w:rsidR="00D92359" w:rsidRPr="003F3B7E" w:rsidRDefault="0016323D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الان</w:t>
            </w:r>
          </w:p>
        </w:tc>
      </w:tr>
      <w:tr w:rsidR="00D92359" w:rsidTr="00804D1C">
        <w:tc>
          <w:tcPr>
            <w:tcW w:w="759" w:type="dxa"/>
          </w:tcPr>
          <w:p w:rsidR="00D92359" w:rsidRPr="003F3B7E" w:rsidRDefault="009267D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92359" w:rsidRPr="003F3B7E" w:rsidRDefault="009816E6" w:rsidP="009267D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</w:rPr>
              <w:t>معاون العميد للشؤون ألا</w:t>
            </w:r>
            <w:r w:rsidR="009267DE" w:rsidRPr="003F3B7E">
              <w:rPr>
                <w:rFonts w:hint="cs"/>
                <w:sz w:val="36"/>
                <w:szCs w:val="36"/>
                <w:rtl/>
              </w:rPr>
              <w:t>دارية</w:t>
            </w:r>
          </w:p>
        </w:tc>
        <w:tc>
          <w:tcPr>
            <w:tcW w:w="1560" w:type="dxa"/>
          </w:tcPr>
          <w:p w:rsidR="00D92359" w:rsidRPr="003F3B7E" w:rsidRDefault="003F3B7E" w:rsidP="003F3B7E">
            <w:pPr>
              <w:bidi w:val="0"/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2001</w:t>
            </w:r>
            <w:r w:rsidRPr="003F3B7E">
              <w:rPr>
                <w:sz w:val="36"/>
                <w:szCs w:val="36"/>
                <w:lang w:bidi="ar-IQ"/>
              </w:rPr>
              <w:t>-</w:t>
            </w: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1242" w:type="dxa"/>
          </w:tcPr>
          <w:p w:rsidR="00D92359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9/2001</w:t>
            </w:r>
          </w:p>
        </w:tc>
      </w:tr>
      <w:tr w:rsidR="00D92359" w:rsidTr="00804D1C">
        <w:tc>
          <w:tcPr>
            <w:tcW w:w="759" w:type="dxa"/>
          </w:tcPr>
          <w:p w:rsidR="00D92359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:rsidR="00D92359" w:rsidRPr="003F3B7E" w:rsidRDefault="003F3B7E" w:rsidP="003F3B7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</w:rPr>
              <w:t xml:space="preserve">عضو الجمعية </w:t>
            </w: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الدولية</w:t>
            </w:r>
            <w:r w:rsidRPr="003F3B7E">
              <w:rPr>
                <w:rFonts w:hint="cs"/>
                <w:sz w:val="36"/>
                <w:szCs w:val="36"/>
                <w:rtl/>
              </w:rPr>
              <w:t xml:space="preserve"> للأبحاث العصبية وأغشية الدماغ </w:t>
            </w:r>
            <w:r w:rsidRPr="003F3B7E">
              <w:rPr>
                <w:sz w:val="36"/>
                <w:szCs w:val="36"/>
                <w:lang w:bidi="ar-IQ"/>
              </w:rPr>
              <w:t>IBBS</w:t>
            </w:r>
          </w:p>
        </w:tc>
        <w:tc>
          <w:tcPr>
            <w:tcW w:w="1560" w:type="dxa"/>
          </w:tcPr>
          <w:p w:rsidR="00D92359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2005</w:t>
            </w:r>
          </w:p>
        </w:tc>
        <w:tc>
          <w:tcPr>
            <w:tcW w:w="1242" w:type="dxa"/>
          </w:tcPr>
          <w:p w:rsidR="00D92359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3F3B7E">
              <w:rPr>
                <w:rFonts w:hint="cs"/>
                <w:sz w:val="36"/>
                <w:szCs w:val="36"/>
                <w:rtl/>
                <w:lang w:bidi="ar-IQ"/>
              </w:rPr>
              <w:t>الان</w:t>
            </w:r>
          </w:p>
        </w:tc>
      </w:tr>
      <w:tr w:rsidR="003F3B7E" w:rsidTr="00804D1C">
        <w:tc>
          <w:tcPr>
            <w:tcW w:w="759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:rsidR="003F3B7E" w:rsidRPr="003F3B7E" w:rsidRDefault="003F3B7E" w:rsidP="003F3B7E">
            <w:pPr>
              <w:jc w:val="center"/>
              <w:rPr>
                <w:sz w:val="36"/>
                <w:szCs w:val="36"/>
                <w:rtl/>
              </w:rPr>
            </w:pPr>
            <w:r w:rsidRPr="003F3B7E">
              <w:rPr>
                <w:rFonts w:hint="cs"/>
                <w:sz w:val="36"/>
                <w:szCs w:val="36"/>
                <w:rtl/>
              </w:rPr>
              <w:t>زميل الجمعية الفرانكفونية لابحاث تطوير الادوية و الجهاز العصبي</w:t>
            </w:r>
          </w:p>
        </w:tc>
        <w:tc>
          <w:tcPr>
            <w:tcW w:w="1560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2004</w:t>
            </w:r>
          </w:p>
        </w:tc>
        <w:tc>
          <w:tcPr>
            <w:tcW w:w="1242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الان</w:t>
            </w:r>
          </w:p>
        </w:tc>
      </w:tr>
      <w:tr w:rsidR="003F3B7E" w:rsidTr="00804D1C">
        <w:tc>
          <w:tcPr>
            <w:tcW w:w="759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4961" w:type="dxa"/>
          </w:tcPr>
          <w:p w:rsidR="003F3B7E" w:rsidRPr="003F3B7E" w:rsidRDefault="003F3B7E" w:rsidP="003F3B7E">
            <w:pPr>
              <w:jc w:val="center"/>
              <w:rPr>
                <w:sz w:val="36"/>
                <w:szCs w:val="36"/>
                <w:rtl/>
              </w:rPr>
            </w:pPr>
            <w:r w:rsidRPr="003F3B7E">
              <w:rPr>
                <w:rFonts w:hint="cs"/>
                <w:sz w:val="36"/>
                <w:szCs w:val="36"/>
                <w:rtl/>
              </w:rPr>
              <w:t>عضو هيئة دراسات المخدرات و الادمان</w:t>
            </w:r>
          </w:p>
        </w:tc>
        <w:tc>
          <w:tcPr>
            <w:tcW w:w="1560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2006</w:t>
            </w:r>
          </w:p>
        </w:tc>
        <w:tc>
          <w:tcPr>
            <w:tcW w:w="1242" w:type="dxa"/>
          </w:tcPr>
          <w:p w:rsidR="003F3B7E" w:rsidRPr="003F3B7E" w:rsidRDefault="003F3B7E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2014</w:t>
            </w:r>
          </w:p>
        </w:tc>
      </w:tr>
    </w:tbl>
    <w:p w:rsidR="003F3B7E" w:rsidRDefault="003F3B7E" w:rsidP="00804D1C">
      <w:pPr>
        <w:rPr>
          <w:rFonts w:cs="DecoType Naskh Swashes" w:hint="cs"/>
          <w:b/>
          <w:bCs/>
          <w:color w:val="FF0000"/>
          <w:sz w:val="44"/>
          <w:szCs w:val="44"/>
          <w:rtl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3F3B7E" w:rsidP="003F3B7E">
            <w:pPr>
              <w:bidi w:val="0"/>
              <w:jc w:val="both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 xml:space="preserve"> S.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Albagou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R. (2002). Application of novel computer program for calculating the dose for patients with renal insufficiency. </w:t>
            </w:r>
            <w:r w:rsidRPr="001D378C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Iraqi Pharmaceutical Journal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. </w:t>
            </w:r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3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: 18-23.</w:t>
            </w:r>
          </w:p>
        </w:tc>
      </w:tr>
      <w:tr w:rsidR="00D92359" w:rsidTr="00D92359">
        <w:tc>
          <w:tcPr>
            <w:tcW w:w="8522" w:type="dxa"/>
          </w:tcPr>
          <w:p w:rsidR="00D92359" w:rsidRDefault="003F3B7E" w:rsidP="003F3B7E">
            <w:pPr>
              <w:bidi w:val="0"/>
              <w:jc w:val="both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 xml:space="preserve"> S.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Alnuaimi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N. (2002) Effect of the aqueous extraction of walnut leaves on the lipids levels in hyperlipidaemia. </w:t>
            </w:r>
            <w:r w:rsidRPr="001D378C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Arab Journal of Pharmaceutical Sciences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. </w:t>
            </w:r>
            <w:proofErr w:type="gram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34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:</w:t>
            </w:r>
            <w:proofErr w:type="gram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65-71.</w:t>
            </w:r>
          </w:p>
        </w:tc>
      </w:tr>
      <w:tr w:rsidR="00D92359" w:rsidTr="00D92359">
        <w:tc>
          <w:tcPr>
            <w:tcW w:w="8522" w:type="dxa"/>
          </w:tcPr>
          <w:p w:rsidR="00D92359" w:rsidRDefault="003F3B7E" w:rsidP="003F3B7E">
            <w:pPr>
              <w:bidi w:val="0"/>
              <w:jc w:val="both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Declèves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X., </w:t>
            </w: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Bihorel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S., </w:t>
            </w: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Debray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M., </w:t>
            </w:r>
            <w:proofErr w:type="spellStart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GB"/>
              </w:rPr>
              <w:t xml:space="preserve"> S.</w:t>
            </w:r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,</w:t>
            </w:r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Camenisch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G., and </w:t>
            </w: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Scherrmann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JM. (2008) ABC transporters and the accumulation of </w:t>
            </w:r>
            <w:proofErr w:type="spellStart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imatinib</w:t>
            </w:r>
            <w:proofErr w:type="spellEnd"/>
            <w:r w:rsidRPr="001D378C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and its active metabolite CGP74588 in rat C6 glioma cells. </w:t>
            </w:r>
            <w:proofErr w:type="spellStart"/>
            <w:r w:rsidRPr="001D378C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Pharmacol</w:t>
            </w:r>
            <w:proofErr w:type="spellEnd"/>
            <w:r w:rsidRPr="001D378C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. Res.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1D378C">
              <w:rPr>
                <w:rStyle w:val="volume"/>
                <w:rFonts w:asciiTheme="majorBidi" w:hAnsiTheme="majorBidi" w:cstheme="majorBidi"/>
                <w:b/>
                <w:sz w:val="28"/>
                <w:szCs w:val="28"/>
                <w:lang w:val="en-GB"/>
              </w:rPr>
              <w:t>57</w:t>
            </w:r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(</w:t>
            </w:r>
            <w:r w:rsidRPr="001D378C">
              <w:rPr>
                <w:rStyle w:val="issue"/>
                <w:rFonts w:asciiTheme="majorBidi" w:hAnsiTheme="majorBidi" w:cstheme="majorBidi"/>
                <w:b/>
                <w:sz w:val="28"/>
                <w:szCs w:val="28"/>
                <w:lang w:val="en-GB"/>
              </w:rPr>
              <w:t>3</w:t>
            </w:r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)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: </w:t>
            </w:r>
            <w:r w:rsidRPr="001D378C">
              <w:rPr>
                <w:rStyle w:val="pages"/>
                <w:rFonts w:asciiTheme="majorBidi" w:hAnsiTheme="majorBidi" w:cstheme="majorBidi"/>
                <w:sz w:val="28"/>
                <w:szCs w:val="28"/>
                <w:lang w:val="en-GB"/>
              </w:rPr>
              <w:t>214-22</w:t>
            </w:r>
          </w:p>
        </w:tc>
      </w:tr>
      <w:tr w:rsidR="00D92359" w:rsidTr="00D92359">
        <w:tc>
          <w:tcPr>
            <w:tcW w:w="8522" w:type="dxa"/>
          </w:tcPr>
          <w:p w:rsidR="00D92359" w:rsidRDefault="003F3B7E" w:rsidP="003F3B7E">
            <w:pPr>
              <w:bidi w:val="0"/>
              <w:jc w:val="both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Perrière</w:t>
            </w:r>
            <w:bookmarkStart w:id="0" w:name="bcor1"/>
            <w:bookmarkEnd w:id="0"/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N., </w:t>
            </w:r>
            <w:bookmarkStart w:id="1" w:name="hit1"/>
            <w:bookmarkEnd w:id="1"/>
            <w:proofErr w:type="spell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 xml:space="preserve"> S.,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Cazaubon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Chaverot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N.,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Bourasset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F.,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Cisternino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Declèves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X., Hori S.,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Terasaki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T., Deli M.,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Scherrmann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J.M.,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Temsamani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J., Roux F. and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Couraud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P.O. (2007) </w:t>
            </w:r>
            <w:r w:rsidRPr="001D378C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 xml:space="preserve">A functional in vitro model of rat blood–brain barrier for molecular analysis of efflux transporters. </w:t>
            </w:r>
            <w:r w:rsidRPr="001D378C">
              <w:rPr>
                <w:rFonts w:asciiTheme="majorBidi" w:hAnsiTheme="majorBidi" w:cstheme="majorBidi"/>
                <w:i/>
                <w:color w:val="000000"/>
                <w:sz w:val="28"/>
                <w:szCs w:val="28"/>
                <w:lang w:val="en-GB"/>
              </w:rPr>
              <w:t>Brain Res.</w:t>
            </w:r>
            <w:r w:rsidRPr="001D378C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 xml:space="preserve"> </w:t>
            </w:r>
            <w:r w:rsidRPr="001D378C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lang w:val="en-GB"/>
              </w:rPr>
              <w:t>1150</w:t>
            </w:r>
            <w:r w:rsidRPr="001D378C">
              <w:rPr>
                <w:rFonts w:asciiTheme="majorBidi" w:hAnsiTheme="majorBidi" w:cstheme="majorBidi"/>
                <w:color w:val="000000"/>
                <w:sz w:val="28"/>
                <w:szCs w:val="28"/>
                <w:lang w:val="en-GB"/>
              </w:rPr>
              <w:t>: 1-13.</w:t>
            </w:r>
          </w:p>
        </w:tc>
      </w:tr>
      <w:tr w:rsidR="00D92359" w:rsidTr="00D92359">
        <w:tc>
          <w:tcPr>
            <w:tcW w:w="8522" w:type="dxa"/>
          </w:tcPr>
          <w:p w:rsidR="00D92359" w:rsidRDefault="003F3B7E" w:rsidP="003F3B7E">
            <w:pPr>
              <w:bidi w:val="0"/>
              <w:jc w:val="both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 xml:space="preserve"> S.</w:t>
            </w:r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,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Dauchy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Tournier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N., Jacob A. 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Declèves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X. (2008) Blood-brain barrier: Role of ABC transporters in neuropharmacology. </w:t>
            </w:r>
            <w:proofErr w:type="spellStart"/>
            <w:r w:rsidRPr="001D378C">
              <w:rPr>
                <w:rFonts w:asciiTheme="majorBidi" w:hAnsiTheme="majorBidi" w:cstheme="majorBidi"/>
                <w:i/>
                <w:iCs/>
                <w:sz w:val="28"/>
                <w:szCs w:val="28"/>
                <w:lang w:val="en-GB"/>
              </w:rPr>
              <w:t>Réanimation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, </w:t>
            </w:r>
            <w:r w:rsidRPr="001D378C">
              <w:rPr>
                <w:rFonts w:asciiTheme="majorBidi" w:hAnsiTheme="majorBidi" w:cstheme="majorBidi"/>
                <w:b/>
                <w:iCs/>
                <w:sz w:val="28"/>
                <w:szCs w:val="28"/>
                <w:lang w:val="en-GB"/>
              </w:rPr>
              <w:t>17</w:t>
            </w:r>
            <w:r w:rsidRPr="001D378C">
              <w:rPr>
                <w:rFonts w:asciiTheme="majorBidi" w:hAnsiTheme="majorBidi" w:cstheme="majorBidi"/>
                <w:iCs/>
                <w:sz w:val="28"/>
                <w:szCs w:val="28"/>
                <w:lang w:val="en-GB"/>
              </w:rPr>
              <w:t>, (7)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: </w:t>
            </w:r>
            <w:r w:rsidRPr="001D378C">
              <w:rPr>
                <w:rFonts w:asciiTheme="majorBidi" w:hAnsiTheme="majorBidi" w:cstheme="majorBidi"/>
                <w:iCs/>
                <w:sz w:val="28"/>
                <w:szCs w:val="28"/>
                <w:lang w:val="en-GB"/>
              </w:rPr>
              <w:t>664-669.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proofErr w:type="spellStart"/>
            <w:r w:rsidRPr="00E4221D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E4221D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u w:val="single"/>
                <w:lang w:val="en-GB"/>
              </w:rPr>
              <w:t xml:space="preserve"> </w:t>
            </w:r>
            <w:r w:rsidRPr="00E4221D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S.,</w:t>
            </w:r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Saubamea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B.,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Cisternino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S., Marie-Claire C.,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Dauchy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S.,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Scherrmann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JM. </w:t>
            </w:r>
            <w:proofErr w:type="gram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and</w:t>
            </w:r>
            <w:proofErr w:type="gram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Declèves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X. (2008)</w:t>
            </w:r>
            <w:r w:rsidRPr="00E4221D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 xml:space="preserve"> </w:t>
            </w:r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Effect of chronic exposure to morphine on the rat blood-brain barrier: focus on the P-glycoprotein</w:t>
            </w:r>
            <w:r w:rsidRPr="00E4221D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E4221D">
              <w:rPr>
                <w:rFonts w:asciiTheme="majorBidi" w:hAnsiTheme="majorBidi" w:cstheme="majorBidi"/>
                <w:i/>
                <w:sz w:val="28"/>
                <w:szCs w:val="28"/>
              </w:rPr>
              <w:t xml:space="preserve">J. </w:t>
            </w:r>
            <w:proofErr w:type="spellStart"/>
            <w:r w:rsidRPr="00E4221D">
              <w:rPr>
                <w:rFonts w:asciiTheme="majorBidi" w:hAnsiTheme="majorBidi" w:cstheme="majorBidi"/>
                <w:i/>
                <w:sz w:val="28"/>
                <w:szCs w:val="28"/>
              </w:rPr>
              <w:t>Neurochem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E4221D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107</w:t>
            </w:r>
            <w:r w:rsidRPr="00E4221D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(3):647-57</w:t>
            </w:r>
            <w:r w:rsidRPr="00E4221D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sz w:val="28"/>
                <w:szCs w:val="28"/>
                <w:u w:val="single"/>
                <w:lang w:val="en-GB"/>
              </w:rPr>
              <w:t xml:space="preserve"> S.,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Marie-Claire C., Roux F.,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Scherrmann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JM. </w:t>
            </w:r>
            <w:proofErr w:type="gram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and</w:t>
            </w:r>
            <w:proofErr w:type="gram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Declèves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X. (2007) Expression of drug transporters at the blood-brain barrier using an optimized isolated rat brain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microvessel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strategy. </w:t>
            </w:r>
            <w:r w:rsidRPr="001D378C">
              <w:rPr>
                <w:rFonts w:asciiTheme="majorBidi" w:hAnsiTheme="majorBidi" w:cstheme="majorBidi"/>
                <w:i/>
                <w:sz w:val="28"/>
                <w:szCs w:val="28"/>
                <w:lang w:val="en-GB"/>
              </w:rPr>
              <w:t>Brain Res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1D378C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1134</w:t>
            </w:r>
            <w:r w:rsidRPr="001D378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: 1-11.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Giraud C,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Manceau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Declèves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X,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Goffinet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Morini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JP,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Chappuy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H,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Batteux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Chouzenoux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S, </w:t>
            </w:r>
            <w:proofErr w:type="spellStart"/>
            <w:r w:rsidRPr="00E422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Yousif</w:t>
            </w:r>
            <w:proofErr w:type="spellEnd"/>
            <w:r w:rsidRPr="00E4221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S,</w:t>
            </w:r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Scherrmann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JM, Blanche S,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Tréluyer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JM. (2009) Influence of development, HIV infection, and antiretroviral therapies on the gene expression profiles of ABC transporters in human lymphocytes. J.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Pharmacol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 </w:t>
            </w:r>
            <w:proofErr w:type="spellStart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Epub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2009 Oct 16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</w:t>
            </w:r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Decleves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X, Jacob A, 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Shawahna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R,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Potin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Scherrmann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JM. </w:t>
            </w:r>
            <w:hyperlink r:id="rId8" w:history="1">
              <w:r w:rsidRPr="00993314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</w:rPr>
                <w:t>Interplay of drug metabolizing CYP450 enzymes and ABC transporters in the blood-brain barrier.</w:t>
              </w:r>
            </w:hyperlink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3314">
              <w:rPr>
                <w:rStyle w:val="jrnl"/>
                <w:rFonts w:asciiTheme="majorBidi" w:hAnsiTheme="majorBidi" w:cstheme="majorBidi"/>
                <w:b/>
                <w:bCs/>
                <w:sz w:val="28"/>
                <w:szCs w:val="28"/>
              </w:rPr>
              <w:t>Curr</w:t>
            </w:r>
            <w:proofErr w:type="spellEnd"/>
            <w:r w:rsidRPr="00993314">
              <w:rPr>
                <w:rStyle w:val="jrnl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Drug </w:t>
            </w:r>
            <w:proofErr w:type="spellStart"/>
            <w:r w:rsidRPr="00993314">
              <w:rPr>
                <w:rStyle w:val="jrnl"/>
                <w:rFonts w:asciiTheme="majorBidi" w:hAnsiTheme="majorBidi" w:cstheme="majorBidi"/>
                <w:b/>
                <w:bCs/>
                <w:sz w:val="28"/>
                <w:szCs w:val="28"/>
              </w:rPr>
              <w:t>Metab</w:t>
            </w:r>
            <w:proofErr w:type="spellEnd"/>
            <w:r w:rsidRPr="00993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. 2011 </w:t>
            </w:r>
            <w:r w:rsidRPr="00993314">
              <w:rPr>
                <w:rFonts w:asciiTheme="majorBidi" w:hAnsiTheme="majorBidi" w:cstheme="majorBidi"/>
                <w:sz w:val="28"/>
                <w:szCs w:val="28"/>
              </w:rPr>
              <w:t>Oct; 12(8):732-41.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Shawahna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R, Uchida Y,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Declèves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X,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Ohtsuki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S, </w:t>
            </w:r>
            <w:proofErr w:type="spellStart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Yousif</w:t>
            </w:r>
            <w:proofErr w:type="spellEnd"/>
            <w:r w:rsidRPr="001D378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</w:t>
            </w:r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Dauchy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S, Jacob A,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Chassoux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F,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Daumas-Duport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C,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Couraud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PO,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Terasaki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T,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Scherrmann</w:t>
            </w:r>
            <w:proofErr w:type="spellEnd"/>
            <w:r w:rsidRPr="001D378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1D378C">
              <w:rPr>
                <w:rFonts w:asciiTheme="majorBidi" w:hAnsiTheme="majorBidi" w:cstheme="majorBidi"/>
                <w:sz w:val="28"/>
                <w:szCs w:val="28"/>
              </w:rPr>
              <w:t>JM.</w:t>
            </w:r>
            <w:hyperlink r:id="rId9" w:history="1">
              <w:r w:rsidRPr="00993314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</w:rPr>
                <w:t>Transcriptomic</w:t>
              </w:r>
              <w:proofErr w:type="spellEnd"/>
              <w:r w:rsidRPr="00993314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</w:rPr>
                <w:t xml:space="preserve"> and quantitative proteomic analysis of transporters and drug metabolizing enzymes in freshly isolated human brain </w:t>
              </w:r>
              <w:proofErr w:type="spellStart"/>
              <w:r w:rsidRPr="00993314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</w:rPr>
                <w:t>microvessels.</w:t>
              </w:r>
            </w:hyperlink>
            <w:r w:rsidRPr="00993314">
              <w:rPr>
                <w:rStyle w:val="jrnl"/>
                <w:rFonts w:asciiTheme="majorBidi" w:hAnsiTheme="majorBidi" w:cstheme="majorBidi"/>
                <w:b/>
                <w:bCs/>
                <w:sz w:val="28"/>
                <w:szCs w:val="28"/>
              </w:rPr>
              <w:t>Mol</w:t>
            </w:r>
            <w:proofErr w:type="spellEnd"/>
            <w:r w:rsidRPr="00993314">
              <w:rPr>
                <w:rStyle w:val="jrnl"/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Pharm</w:t>
            </w:r>
            <w:r w:rsidRPr="009933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2011</w:t>
            </w:r>
            <w:r w:rsidRPr="00993314">
              <w:rPr>
                <w:rFonts w:asciiTheme="majorBidi" w:hAnsiTheme="majorBidi" w:cstheme="majorBidi"/>
                <w:sz w:val="28"/>
                <w:szCs w:val="28"/>
              </w:rPr>
              <w:t xml:space="preserve"> Aug 1</w:t>
            </w:r>
            <w:proofErr w:type="gramStart"/>
            <w:r w:rsidRPr="00993314">
              <w:rPr>
                <w:rFonts w:asciiTheme="majorBidi" w:hAnsiTheme="majorBidi" w:cstheme="majorBidi"/>
                <w:sz w:val="28"/>
                <w:szCs w:val="28"/>
              </w:rPr>
              <w:t>;8</w:t>
            </w:r>
            <w:proofErr w:type="gramEnd"/>
            <w:r w:rsidRPr="00993314">
              <w:rPr>
                <w:rFonts w:asciiTheme="majorBidi" w:hAnsiTheme="majorBidi" w:cstheme="majorBidi"/>
                <w:sz w:val="28"/>
                <w:szCs w:val="28"/>
              </w:rPr>
              <w:t xml:space="preserve">(4):1332-41. </w:t>
            </w:r>
            <w:proofErr w:type="spellStart"/>
            <w:r w:rsidRPr="00993314">
              <w:rPr>
                <w:rFonts w:asciiTheme="majorBidi" w:hAnsiTheme="majorBidi" w:cstheme="majorBidi"/>
                <w:sz w:val="28"/>
                <w:szCs w:val="28"/>
              </w:rPr>
              <w:t>Epub</w:t>
            </w:r>
            <w:proofErr w:type="spellEnd"/>
            <w:r w:rsidRPr="00993314">
              <w:rPr>
                <w:rFonts w:asciiTheme="majorBidi" w:hAnsiTheme="majorBidi" w:cstheme="majorBidi"/>
                <w:sz w:val="28"/>
                <w:szCs w:val="28"/>
              </w:rPr>
              <w:t xml:space="preserve"> 2011 Jul 8</w:t>
            </w:r>
          </w:p>
        </w:tc>
      </w:tr>
      <w:tr w:rsidR="00D92359" w:rsidTr="00D92359">
        <w:tc>
          <w:tcPr>
            <w:tcW w:w="8522" w:type="dxa"/>
          </w:tcPr>
          <w:p w:rsidR="00D92359" w:rsidRPr="00E4221D" w:rsidRDefault="00E4221D" w:rsidP="003F3B7E">
            <w:pPr>
              <w:bidi w:val="0"/>
              <w:jc w:val="both"/>
              <w:rPr>
                <w:rFonts w:asciiTheme="majorBidi" w:hAnsiTheme="majorBidi" w:cstheme="majorBidi"/>
                <w:sz w:val="44"/>
                <w:szCs w:val="44"/>
                <w:rtl/>
                <w:lang w:bidi="ar-IQ"/>
              </w:rPr>
            </w:pPr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Jacob A, </w:t>
            </w:r>
            <w:proofErr w:type="spellStart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Hartz</w:t>
            </w:r>
            <w:proofErr w:type="spellEnd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AM, </w:t>
            </w:r>
            <w:proofErr w:type="spellStart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Potin</w:t>
            </w:r>
            <w:proofErr w:type="spellEnd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S, </w:t>
            </w:r>
            <w:proofErr w:type="spellStart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Coumoul</w:t>
            </w:r>
            <w:proofErr w:type="spellEnd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X, </w:t>
            </w:r>
            <w:proofErr w:type="spellStart"/>
            <w:r w:rsidRPr="009933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Yousif</w:t>
            </w:r>
            <w:proofErr w:type="spellEnd"/>
            <w:r w:rsidRPr="0099331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S</w:t>
            </w:r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Scherrmann</w:t>
            </w:r>
            <w:proofErr w:type="spellEnd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JM, Bauer B, </w:t>
            </w:r>
            <w:proofErr w:type="spellStart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Declèves</w:t>
            </w:r>
            <w:proofErr w:type="spellEnd"/>
            <w:r w:rsidRPr="00993314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X. </w:t>
            </w:r>
            <w:hyperlink r:id="rId10" w:history="1">
              <w:r w:rsidRPr="00E4221D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 xml:space="preserve">Aryl hydrocarbon receptor-dependent upregulation of Cyp1b1 by TCDD and diesel exhaust particles in rat brain </w:t>
              </w:r>
              <w:proofErr w:type="spellStart"/>
              <w:r w:rsidRPr="00E4221D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>microvessels</w:t>
              </w:r>
              <w:proofErr w:type="spellEnd"/>
              <w:r w:rsidRPr="00E4221D">
                <w:rPr>
                  <w:rStyle w:val="Hyperlink"/>
                  <w:rFonts w:asciiTheme="majorBidi" w:hAnsiTheme="majorBidi" w:cstheme="majorBidi"/>
                  <w:color w:val="000000"/>
                  <w:sz w:val="28"/>
                  <w:szCs w:val="28"/>
                  <w:u w:val="none"/>
                </w:rPr>
                <w:t>.</w:t>
              </w:r>
            </w:hyperlink>
            <w:r w:rsidRPr="00E4221D">
              <w:rPr>
                <w:rStyle w:val="jrnl"/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E4221D">
              <w:rPr>
                <w:rStyle w:val="jrnl"/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Fluids Barriers CNS</w:t>
            </w:r>
            <w:r w:rsidRPr="00E422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Pr="00E4221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2011</w:t>
            </w:r>
            <w:r w:rsidRPr="00E4221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Aug 25; 8:23.</w:t>
            </w:r>
          </w:p>
        </w:tc>
      </w:tr>
      <w:tr w:rsidR="00E4221D" w:rsidTr="00D92359">
        <w:tc>
          <w:tcPr>
            <w:tcW w:w="8522" w:type="dxa"/>
          </w:tcPr>
          <w:p w:rsidR="00E4221D" w:rsidRPr="00993314" w:rsidRDefault="00E4221D" w:rsidP="003F3B7E">
            <w:pPr>
              <w:bidi w:val="0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224F4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Yousif</w:t>
            </w:r>
            <w:proofErr w:type="spellEnd"/>
            <w:r w:rsidRPr="00224F41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 S,</w:t>
            </w:r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Chaves C, </w:t>
            </w:r>
            <w:proofErr w:type="spellStart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Potin</w:t>
            </w:r>
            <w:proofErr w:type="spellEnd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S, </w:t>
            </w:r>
            <w:proofErr w:type="spellStart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Scherrmann</w:t>
            </w:r>
            <w:proofErr w:type="spellEnd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JM, </w:t>
            </w:r>
            <w:proofErr w:type="spellStart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Declèves</w:t>
            </w:r>
            <w:proofErr w:type="spellEnd"/>
            <w:r w:rsidRPr="00224F41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X. </w:t>
            </w:r>
            <w:hyperlink r:id="rId11" w:history="1">
              <w:r w:rsidRPr="00E4221D">
                <w:rPr>
                  <w:rStyle w:val="Hyperlink"/>
                  <w:rFonts w:asciiTheme="majorBidi" w:hAnsiTheme="majorBidi" w:cstheme="majorBidi"/>
                  <w:bCs/>
                  <w:color w:val="000000"/>
                  <w:sz w:val="28"/>
                  <w:szCs w:val="28"/>
                  <w:u w:val="none"/>
                </w:rPr>
                <w:t xml:space="preserve">Induction of P-glycoprotein and </w:t>
              </w:r>
              <w:proofErr w:type="spellStart"/>
              <w:r w:rsidRPr="00E4221D">
                <w:rPr>
                  <w:rStyle w:val="Hyperlink"/>
                  <w:rFonts w:asciiTheme="majorBidi" w:hAnsiTheme="majorBidi" w:cstheme="majorBidi"/>
                  <w:bCs/>
                  <w:color w:val="000000"/>
                  <w:sz w:val="28"/>
                  <w:szCs w:val="28"/>
                  <w:u w:val="none"/>
                </w:rPr>
                <w:t>Bcrp</w:t>
              </w:r>
              <w:proofErr w:type="spellEnd"/>
              <w:r w:rsidRPr="00E4221D">
                <w:rPr>
                  <w:rStyle w:val="Hyperlink"/>
                  <w:rFonts w:asciiTheme="majorBidi" w:hAnsiTheme="majorBidi" w:cstheme="majorBidi"/>
                  <w:bCs/>
                  <w:color w:val="000000"/>
                  <w:sz w:val="28"/>
                  <w:szCs w:val="28"/>
                  <w:u w:val="none"/>
                </w:rPr>
                <w:t xml:space="preserve"> at the rat blood-brain barrier following a </w:t>
              </w:r>
              <w:proofErr w:type="spellStart"/>
              <w:r w:rsidRPr="00E4221D">
                <w:rPr>
                  <w:rStyle w:val="Hyperlink"/>
                  <w:rFonts w:asciiTheme="majorBidi" w:hAnsiTheme="majorBidi" w:cstheme="majorBidi"/>
                  <w:bCs/>
                  <w:color w:val="000000"/>
                  <w:sz w:val="28"/>
                  <w:szCs w:val="28"/>
                  <w:u w:val="none"/>
                </w:rPr>
                <w:t>subchronic</w:t>
              </w:r>
              <w:proofErr w:type="spellEnd"/>
              <w:r w:rsidRPr="00E4221D">
                <w:rPr>
                  <w:rStyle w:val="Hyperlink"/>
                  <w:rFonts w:asciiTheme="majorBidi" w:hAnsiTheme="majorBidi" w:cstheme="majorBidi"/>
                  <w:bCs/>
                  <w:color w:val="000000"/>
                  <w:sz w:val="28"/>
                  <w:szCs w:val="28"/>
                  <w:u w:val="none"/>
                </w:rPr>
                <w:t xml:space="preserve"> morphine treatment is mediated through NMDA/COX-2 activation.</w:t>
              </w:r>
            </w:hyperlink>
            <w:r w:rsidRPr="00E4221D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</w:t>
            </w:r>
            <w:r w:rsidRPr="00E4221D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 xml:space="preserve">J </w:t>
            </w:r>
            <w:proofErr w:type="spellStart"/>
            <w:r w:rsidRPr="00E4221D"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  <w:t>Neurochem</w:t>
            </w:r>
            <w:proofErr w:type="spellEnd"/>
            <w:r w:rsidRPr="00E4221D">
              <w:rPr>
                <w:rFonts w:asciiTheme="majorBidi" w:hAnsiTheme="majorBidi" w:cstheme="majorBidi"/>
                <w:sz w:val="28"/>
                <w:szCs w:val="28"/>
              </w:rPr>
              <w:t>. 2012 Nov;123(4):491-503</w:t>
            </w:r>
          </w:p>
        </w:tc>
      </w:tr>
    </w:tbl>
    <w:p w:rsidR="0011058A" w:rsidRDefault="00804D1C" w:rsidP="00E4221D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4221D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096" w:type="dxa"/>
          </w:tcPr>
          <w:p w:rsidR="00D92359" w:rsidRPr="00E4221D" w:rsidRDefault="00E4221D" w:rsidP="00B176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F0608">
              <w:rPr>
                <w:rFonts w:asciiTheme="majorBidi" w:hAnsiTheme="majorBidi" w:cstheme="majorBidi"/>
                <w:sz w:val="28"/>
                <w:szCs w:val="28"/>
                <w:lang w:val="en-GB"/>
              </w:rPr>
              <w:t>Association of pharmaceutical scientists (AAPS) Annual Meeting and Exposition, San Diego – USA</w:t>
            </w:r>
          </w:p>
        </w:tc>
        <w:tc>
          <w:tcPr>
            <w:tcW w:w="1809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D92359" w:rsidTr="00804D1C">
        <w:tc>
          <w:tcPr>
            <w:tcW w:w="617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4221D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096" w:type="dxa"/>
          </w:tcPr>
          <w:p w:rsidR="00D92359" w:rsidRPr="00E4221D" w:rsidRDefault="00E4221D" w:rsidP="00B176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F0608">
              <w:rPr>
                <w:rFonts w:asciiTheme="majorBidi" w:hAnsiTheme="majorBidi" w:cstheme="majorBidi"/>
                <w:sz w:val="28"/>
                <w:szCs w:val="28"/>
                <w:lang w:val="en-GB"/>
              </w:rPr>
              <w:t>7</w:t>
            </w:r>
            <w:r w:rsidRPr="00EF0608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-GB"/>
              </w:rPr>
              <w:t>th</w:t>
            </w:r>
            <w:r w:rsidRPr="00EF0608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Cerebral Vascular biology international conference. Ottawa, Canada.</w:t>
            </w:r>
          </w:p>
        </w:tc>
        <w:tc>
          <w:tcPr>
            <w:tcW w:w="1809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D92359" w:rsidTr="00804D1C">
        <w:tc>
          <w:tcPr>
            <w:tcW w:w="617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4221D"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096" w:type="dxa"/>
          </w:tcPr>
          <w:p w:rsidR="00D92359" w:rsidRPr="00E4221D" w:rsidRDefault="00E4221D" w:rsidP="00B176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F0608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Conference Club de la BHE. Lyon - France</w:t>
            </w:r>
          </w:p>
        </w:tc>
        <w:tc>
          <w:tcPr>
            <w:tcW w:w="1809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D92359" w:rsidTr="00804D1C">
        <w:tc>
          <w:tcPr>
            <w:tcW w:w="617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4221D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096" w:type="dxa"/>
          </w:tcPr>
          <w:p w:rsidR="00D92359" w:rsidRPr="00E4221D" w:rsidRDefault="00E4221D" w:rsidP="00B176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F0608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American Association of pharmaceutical scientists (AAPS) Annual Meeting and Exposition, Nashville, Tennessee. USA</w:t>
            </w:r>
          </w:p>
        </w:tc>
        <w:tc>
          <w:tcPr>
            <w:tcW w:w="1809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D92359" w:rsidTr="00804D1C">
        <w:tc>
          <w:tcPr>
            <w:tcW w:w="617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E4221D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096" w:type="dxa"/>
          </w:tcPr>
          <w:p w:rsidR="00D92359" w:rsidRPr="00E4221D" w:rsidRDefault="00E4221D" w:rsidP="00B1767D">
            <w:pPr>
              <w:jc w:val="right"/>
              <w:rPr>
                <w:sz w:val="32"/>
                <w:szCs w:val="32"/>
                <w:rtl/>
                <w:lang w:bidi="ar-IQ"/>
              </w:rPr>
            </w:pPr>
            <w:r w:rsidRPr="00EF0608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European ISSX Meeting at the Pharmaceutical Sciences Fair. Nice, France</w:t>
            </w:r>
          </w:p>
        </w:tc>
        <w:tc>
          <w:tcPr>
            <w:tcW w:w="1809" w:type="dxa"/>
          </w:tcPr>
          <w:p w:rsidR="00D92359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</w:t>
            </w:r>
          </w:p>
        </w:tc>
      </w:tr>
      <w:tr w:rsidR="00E4221D" w:rsidTr="00804D1C">
        <w:tc>
          <w:tcPr>
            <w:tcW w:w="617" w:type="dxa"/>
          </w:tcPr>
          <w:p w:rsidR="00E4221D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096" w:type="dxa"/>
          </w:tcPr>
          <w:p w:rsidR="00E4221D" w:rsidRPr="00EF0608" w:rsidRDefault="00E4221D" w:rsidP="00B1767D">
            <w:pPr>
              <w:jc w:val="right"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 w:rsidRPr="00EF0608">
              <w:rPr>
                <w:rFonts w:asciiTheme="majorBidi" w:hAnsiTheme="majorBidi" w:cstheme="majorBidi"/>
                <w:sz w:val="28"/>
                <w:szCs w:val="28"/>
                <w:lang w:val="en-GB"/>
              </w:rPr>
              <w:t>8</w:t>
            </w:r>
            <w:r w:rsidRPr="00EF0608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-GB"/>
              </w:rPr>
              <w:t>th</w:t>
            </w:r>
            <w:r w:rsidRPr="00EF0608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Cerebral Vascular biology international conference. Sendai-Japan</w:t>
            </w:r>
          </w:p>
        </w:tc>
        <w:tc>
          <w:tcPr>
            <w:tcW w:w="1809" w:type="dxa"/>
          </w:tcPr>
          <w:p w:rsid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E4221D" w:rsidTr="00804D1C">
        <w:tc>
          <w:tcPr>
            <w:tcW w:w="617" w:type="dxa"/>
          </w:tcPr>
          <w:p w:rsidR="00E4221D" w:rsidRP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6096" w:type="dxa"/>
          </w:tcPr>
          <w:p w:rsidR="00E4221D" w:rsidRPr="00EF0608" w:rsidRDefault="00E4221D" w:rsidP="00B1767D">
            <w:pPr>
              <w:jc w:val="right"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proofErr w:type="spellStart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>Société</w:t>
            </w:r>
            <w:proofErr w:type="spellEnd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>d’Etudes</w:t>
            </w:r>
            <w:proofErr w:type="spellEnd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des Interfaces entre </w:t>
            </w:r>
            <w:proofErr w:type="spellStart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>le</w:t>
            </w:r>
            <w:proofErr w:type="spellEnd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Sang et le </w:t>
            </w:r>
            <w:proofErr w:type="spellStart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>Cerveau</w:t>
            </w:r>
            <w:proofErr w:type="spellEnd"/>
            <w:r w:rsidRPr="00EF0608">
              <w:rPr>
                <w:rFonts w:asciiTheme="majorBidi" w:hAnsiTheme="majorBidi" w:cstheme="majorBidi"/>
                <w:bCs/>
                <w:sz w:val="28"/>
                <w:szCs w:val="28"/>
              </w:rPr>
              <w:t>« SEISC ».</w:t>
            </w:r>
            <w:r w:rsidRPr="00EF0608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 </w:t>
            </w:r>
            <w:r w:rsidRPr="00EF0608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Paris, France.</w:t>
            </w:r>
          </w:p>
        </w:tc>
        <w:tc>
          <w:tcPr>
            <w:tcW w:w="1809" w:type="dxa"/>
          </w:tcPr>
          <w:p w:rsid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E4221D" w:rsidTr="00804D1C">
        <w:tc>
          <w:tcPr>
            <w:tcW w:w="617" w:type="dxa"/>
          </w:tcPr>
          <w:p w:rsid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6096" w:type="dxa"/>
          </w:tcPr>
          <w:p w:rsidR="00E4221D" w:rsidRPr="00EF0608" w:rsidRDefault="00E4221D" w:rsidP="00B1767D">
            <w:pPr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F0608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Gordon Research Conferences, Boston, USA.</w:t>
            </w:r>
          </w:p>
        </w:tc>
        <w:tc>
          <w:tcPr>
            <w:tcW w:w="1809" w:type="dxa"/>
          </w:tcPr>
          <w:p w:rsidR="00E4221D" w:rsidRDefault="00E4221D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</w:tbl>
    <w:p w:rsidR="001C05AE" w:rsidRDefault="001C05AE" w:rsidP="00804D1C">
      <w:pP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bookmarkStart w:id="2" w:name="_GoBack"/>
      <w:bookmarkEnd w:id="2"/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221E5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العلاجيات</w:t>
            </w:r>
          </w:p>
        </w:tc>
        <w:tc>
          <w:tcPr>
            <w:tcW w:w="1276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D92359" w:rsidRPr="007221E5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تدريب مستشفى</w:t>
            </w:r>
          </w:p>
        </w:tc>
        <w:tc>
          <w:tcPr>
            <w:tcW w:w="1276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محاضرات مختارة</w:t>
            </w:r>
          </w:p>
        </w:tc>
      </w:tr>
      <w:tr w:rsidR="007221E5" w:rsidTr="00804D1C">
        <w:tc>
          <w:tcPr>
            <w:tcW w:w="617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اقتصاديات دواء</w:t>
            </w:r>
          </w:p>
        </w:tc>
        <w:tc>
          <w:tcPr>
            <w:tcW w:w="1276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969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7221E5">
              <w:rPr>
                <w:rFonts w:hint="cs"/>
                <w:sz w:val="36"/>
                <w:szCs w:val="36"/>
                <w:rtl/>
                <w:lang w:bidi="ar-IQ"/>
              </w:rPr>
              <w:t>مهارات تواصل</w:t>
            </w:r>
          </w:p>
        </w:tc>
        <w:tc>
          <w:tcPr>
            <w:tcW w:w="1276" w:type="dxa"/>
          </w:tcPr>
          <w:p w:rsidR="00D92359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D92359" w:rsidRPr="007221E5" w:rsidRDefault="00D92359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7221E5" w:rsidTr="00804D1C">
        <w:tc>
          <w:tcPr>
            <w:tcW w:w="617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969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صيدلة سريرية</w:t>
            </w:r>
          </w:p>
        </w:tc>
        <w:tc>
          <w:tcPr>
            <w:tcW w:w="1276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7221E5" w:rsidTr="00804D1C">
        <w:tc>
          <w:tcPr>
            <w:tcW w:w="617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969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اخلاقيات المهنة</w:t>
            </w:r>
          </w:p>
        </w:tc>
        <w:tc>
          <w:tcPr>
            <w:tcW w:w="1276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7221E5" w:rsidTr="00804D1C">
        <w:tc>
          <w:tcPr>
            <w:tcW w:w="617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969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تطبيق صيدلاني </w:t>
            </w:r>
          </w:p>
        </w:tc>
        <w:tc>
          <w:tcPr>
            <w:tcW w:w="1276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  <w:tr w:rsidR="007221E5" w:rsidTr="00804D1C">
        <w:tc>
          <w:tcPr>
            <w:tcW w:w="617" w:type="dxa"/>
          </w:tcPr>
          <w:p w:rsid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969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حسابات صيدلانية</w:t>
            </w:r>
          </w:p>
        </w:tc>
        <w:tc>
          <w:tcPr>
            <w:tcW w:w="1276" w:type="dxa"/>
          </w:tcPr>
          <w:p w:rsidR="007221E5" w:rsidRDefault="007221E5" w:rsidP="009816E6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الاول</w:t>
            </w:r>
            <w:r w:rsidR="009816E6">
              <w:rPr>
                <w:rFonts w:hint="cs"/>
                <w:sz w:val="36"/>
                <w:szCs w:val="36"/>
                <w:rtl/>
                <w:lang w:bidi="ar-IQ"/>
              </w:rPr>
              <w:t>ى</w:t>
            </w:r>
          </w:p>
        </w:tc>
        <w:tc>
          <w:tcPr>
            <w:tcW w:w="2660" w:type="dxa"/>
          </w:tcPr>
          <w:p w:rsidR="007221E5" w:rsidRPr="007221E5" w:rsidRDefault="007221E5" w:rsidP="00D92359">
            <w:pPr>
              <w:jc w:val="center"/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7B" w:rsidRDefault="00CA757B" w:rsidP="00493357">
      <w:pPr>
        <w:spacing w:after="0" w:line="240" w:lineRule="auto"/>
      </w:pPr>
      <w:r>
        <w:separator/>
      </w:r>
    </w:p>
  </w:endnote>
  <w:endnote w:type="continuationSeparator" w:id="0">
    <w:p w:rsidR="00CA757B" w:rsidRDefault="00CA757B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7B" w:rsidRDefault="00CA757B" w:rsidP="00493357">
      <w:pPr>
        <w:spacing w:after="0" w:line="240" w:lineRule="auto"/>
      </w:pPr>
      <w:r>
        <w:separator/>
      </w:r>
    </w:p>
  </w:footnote>
  <w:footnote w:type="continuationSeparator" w:id="0">
    <w:p w:rsidR="00CA757B" w:rsidRDefault="00CA757B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A75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A75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A75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59"/>
    <w:rsid w:val="000A4B5C"/>
    <w:rsid w:val="0011058A"/>
    <w:rsid w:val="00133D6E"/>
    <w:rsid w:val="0016323D"/>
    <w:rsid w:val="001C05AE"/>
    <w:rsid w:val="00354883"/>
    <w:rsid w:val="003C2865"/>
    <w:rsid w:val="003F3B7E"/>
    <w:rsid w:val="00423045"/>
    <w:rsid w:val="00493357"/>
    <w:rsid w:val="004B17E1"/>
    <w:rsid w:val="004E6494"/>
    <w:rsid w:val="00663C30"/>
    <w:rsid w:val="006E0337"/>
    <w:rsid w:val="007221E5"/>
    <w:rsid w:val="00804D1C"/>
    <w:rsid w:val="0085601A"/>
    <w:rsid w:val="00870AA3"/>
    <w:rsid w:val="008A4148"/>
    <w:rsid w:val="008C3D2D"/>
    <w:rsid w:val="009267DE"/>
    <w:rsid w:val="009415F8"/>
    <w:rsid w:val="009816E6"/>
    <w:rsid w:val="00990C4F"/>
    <w:rsid w:val="00B10229"/>
    <w:rsid w:val="00B1767D"/>
    <w:rsid w:val="00B96ABB"/>
    <w:rsid w:val="00C62414"/>
    <w:rsid w:val="00CA198D"/>
    <w:rsid w:val="00CA757B"/>
    <w:rsid w:val="00D92359"/>
    <w:rsid w:val="00E04E2A"/>
    <w:rsid w:val="00E21C7E"/>
    <w:rsid w:val="00E4221D"/>
    <w:rsid w:val="00F419F0"/>
    <w:rsid w:val="00FC28DF"/>
    <w:rsid w:val="00FC5442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تظليل فاتح1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customStyle="1" w:styleId="volume">
    <w:name w:val="volume"/>
    <w:basedOn w:val="DefaultParagraphFont"/>
    <w:rsid w:val="003F3B7E"/>
  </w:style>
  <w:style w:type="character" w:customStyle="1" w:styleId="issue">
    <w:name w:val="issue"/>
    <w:basedOn w:val="DefaultParagraphFont"/>
    <w:rsid w:val="003F3B7E"/>
  </w:style>
  <w:style w:type="character" w:customStyle="1" w:styleId="pages">
    <w:name w:val="pages"/>
    <w:basedOn w:val="DefaultParagraphFont"/>
    <w:rsid w:val="003F3B7E"/>
  </w:style>
  <w:style w:type="character" w:styleId="Hyperlink">
    <w:name w:val="Hyperlink"/>
    <w:basedOn w:val="DefaultParagraphFont"/>
    <w:rsid w:val="00E4221D"/>
    <w:rPr>
      <w:color w:val="0000FF" w:themeColor="hyperlink"/>
      <w:u w:val="single"/>
    </w:rPr>
  </w:style>
  <w:style w:type="character" w:customStyle="1" w:styleId="jrnl">
    <w:name w:val="jrnl"/>
    <w:basedOn w:val="DefaultParagraphFont"/>
    <w:rsid w:val="00E42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623707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28456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21867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1707071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FAD5-7845-42B4-A9A6-B8572EF6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MOE</cp:lastModifiedBy>
  <cp:revision>11</cp:revision>
  <dcterms:created xsi:type="dcterms:W3CDTF">2019-09-12T18:59:00Z</dcterms:created>
  <dcterms:modified xsi:type="dcterms:W3CDTF">2019-09-18T18:22:00Z</dcterms:modified>
</cp:coreProperties>
</file>